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D5" w:rsidRDefault="006064D5" w:rsidP="006064D5">
      <w:pPr>
        <w:pStyle w:val="NormalWeb"/>
      </w:pPr>
      <w:r>
        <w:rPr>
          <w:rStyle w:val="Forte"/>
        </w:rPr>
        <w:t>DECISÃO DO PREGOEIRO SOBRE RECURSO ADMINISTRATIVO</w:t>
      </w:r>
    </w:p>
    <w:p w:rsidR="006064D5" w:rsidRDefault="006064D5" w:rsidP="006064D5">
      <w:pPr>
        <w:pStyle w:val="NormalWeb"/>
      </w:pPr>
      <w:r>
        <w:rPr>
          <w:rStyle w:val="Forte"/>
        </w:rPr>
        <w:t>PREGÃO ELETRÔNICO Nº [</w:t>
      </w:r>
      <w:r w:rsidR="00FF32A8">
        <w:rPr>
          <w:rStyle w:val="Forte"/>
        </w:rPr>
        <w:t>90003</w:t>
      </w:r>
      <w:r>
        <w:rPr>
          <w:rStyle w:val="Forte"/>
        </w:rPr>
        <w:t>/20</w:t>
      </w:r>
      <w:r w:rsidR="00FF32A8">
        <w:rPr>
          <w:rStyle w:val="Forte"/>
        </w:rPr>
        <w:t>24</w:t>
      </w:r>
      <w:r>
        <w:rPr>
          <w:rStyle w:val="Forte"/>
        </w:rPr>
        <w:t>]</w:t>
      </w:r>
    </w:p>
    <w:p w:rsidR="006064D5" w:rsidRDefault="006064D5" w:rsidP="006064D5">
      <w:pPr>
        <w:pStyle w:val="NormalWeb"/>
      </w:pPr>
      <w:r>
        <w:rPr>
          <w:rStyle w:val="Forte"/>
        </w:rPr>
        <w:t>RECORRENTE:</w:t>
      </w:r>
      <w:r>
        <w:t xml:space="preserve"> </w:t>
      </w:r>
      <w:r w:rsidR="00FF32A8">
        <w:t>ZAMPIERI &amp; LUFT ADVOGADOS ASSOCIADOS</w:t>
      </w:r>
      <w:r>
        <w:br/>
      </w:r>
      <w:r>
        <w:rPr>
          <w:rStyle w:val="Forte"/>
        </w:rPr>
        <w:t>RECORRIDA:</w:t>
      </w:r>
      <w:r>
        <w:t xml:space="preserve"> </w:t>
      </w:r>
      <w:r w:rsidR="00FF32A8">
        <w:t>MENEZES E MENEZES ADVOGADOS ASSOCIADOS</w:t>
      </w:r>
    </w:p>
    <w:p w:rsidR="006064D5" w:rsidRDefault="006064D5" w:rsidP="006064D5">
      <w:pPr>
        <w:pStyle w:val="NormalWeb"/>
      </w:pPr>
      <w:r>
        <w:rPr>
          <w:rStyle w:val="Forte"/>
        </w:rPr>
        <w:t>I – RELATÓRIO</w:t>
      </w:r>
    </w:p>
    <w:p w:rsidR="00FF32A8" w:rsidRDefault="006064D5" w:rsidP="00FF32A8">
      <w:pPr>
        <w:pStyle w:val="NormalWeb"/>
        <w:jc w:val="both"/>
      </w:pPr>
      <w:r>
        <w:t xml:space="preserve">Trata-se de recurso interposto pela empresa </w:t>
      </w:r>
      <w:r w:rsidR="00900E72">
        <w:t>ZAMPIERI &amp; LUFT ADVOGADOS ASSOCIADOS</w:t>
      </w:r>
      <w:r>
        <w:t xml:space="preserve">, no âmbito do Pregão Eletrônico nº </w:t>
      </w:r>
      <w:r w:rsidR="00FF32A8">
        <w:t>90003/2024</w:t>
      </w:r>
      <w:r>
        <w:t xml:space="preserve">, que tem por objeto a contratação de </w:t>
      </w:r>
      <w:r w:rsidR="00FF32A8" w:rsidRPr="00FF32A8">
        <w:t>pessoa jurídica especializada na prestação de serviço de consultoria e assessoria trabalhista visando a proteção dos interesses do Conselho Regional de Contabilidade do Rio de Janeiro</w:t>
      </w:r>
    </w:p>
    <w:p w:rsidR="00F45A2E" w:rsidRDefault="006064D5" w:rsidP="00B9553F">
      <w:pPr>
        <w:pStyle w:val="NormalWeb"/>
        <w:jc w:val="both"/>
      </w:pPr>
      <w:r>
        <w:t xml:space="preserve">A recorrente apresentou impugnação alegando </w:t>
      </w:r>
      <w:r w:rsidR="00FF32A8">
        <w:t>a inexequibilidade da proposta</w:t>
      </w:r>
      <w:r w:rsidR="00F45A2E">
        <w:t xml:space="preserve"> de preços</w:t>
      </w:r>
      <w:r w:rsidR="00FF32A8">
        <w:t xml:space="preserve">, </w:t>
      </w:r>
      <w:r w:rsidR="00803964">
        <w:t>ausência</w:t>
      </w:r>
      <w:r w:rsidR="00F45A2E">
        <w:t xml:space="preserve"> de assinatura no Balanço descumprindo os itens 10.12.3.1 e 10.12.3.6 do Edital</w:t>
      </w:r>
      <w:r w:rsidR="004E2A17">
        <w:t>,</w:t>
      </w:r>
      <w:r w:rsidR="00F45A2E">
        <w:t xml:space="preserve"> a ausência de a</w:t>
      </w:r>
      <w:r w:rsidR="004E2A17">
        <w:t>testado de qualificação técnica e</w:t>
      </w:r>
      <w:r w:rsidR="00F45A2E">
        <w:t xml:space="preserve"> a falta de especialização da recorrida em serviços de consultoria e assessoria trabalhista</w:t>
      </w:r>
    </w:p>
    <w:p w:rsidR="006064D5" w:rsidRDefault="006064D5" w:rsidP="00B9553F">
      <w:pPr>
        <w:pStyle w:val="NormalWeb"/>
        <w:jc w:val="both"/>
      </w:pPr>
      <w:r>
        <w:t>Em observância ao princípio do contraditório e da ampla defesa, foi concedido prazo para manifestação da empresa recorrida, que apresentou suas contrarrazões dentro do período estabelecido.</w:t>
      </w:r>
    </w:p>
    <w:p w:rsidR="006064D5" w:rsidRDefault="006064D5" w:rsidP="006064D5">
      <w:pPr>
        <w:pStyle w:val="NormalWeb"/>
      </w:pPr>
      <w:r>
        <w:rPr>
          <w:rStyle w:val="Forte"/>
        </w:rPr>
        <w:t>II – FUNDAMENTAÇÃO</w:t>
      </w:r>
    </w:p>
    <w:p w:rsidR="006064D5" w:rsidRDefault="006064D5" w:rsidP="006064D5">
      <w:pPr>
        <w:pStyle w:val="NormalWeb"/>
      </w:pPr>
      <w:r>
        <w:t>Analisando os autos do processo licitatório e os argumentos apresentados pelas partes, passo a expor a fundamentação da presente decisão:</w:t>
      </w:r>
    </w:p>
    <w:p w:rsidR="006064D5" w:rsidRDefault="006064D5" w:rsidP="006064D5">
      <w:pPr>
        <w:pStyle w:val="NormalWeb"/>
        <w:numPr>
          <w:ilvl w:val="0"/>
          <w:numId w:val="1"/>
        </w:numPr>
      </w:pPr>
      <w:r>
        <w:rPr>
          <w:rStyle w:val="Forte"/>
        </w:rPr>
        <w:t>Da tempestividade e admissibilidade do recurso</w:t>
      </w:r>
      <w:r>
        <w:br/>
        <w:t>O recurso foi interposto dentro do prazo estabelecido no artigo 165 da Lei nº 14.133/2021 e preenche os requisitos formais para sua admissibilidade.</w:t>
      </w:r>
    </w:p>
    <w:p w:rsidR="00B9553F" w:rsidRDefault="006064D5" w:rsidP="00B9553F">
      <w:pPr>
        <w:pStyle w:val="NormalWeb"/>
        <w:numPr>
          <w:ilvl w:val="0"/>
          <w:numId w:val="1"/>
        </w:numPr>
        <w:jc w:val="both"/>
      </w:pPr>
      <w:r>
        <w:rPr>
          <w:rStyle w:val="Forte"/>
        </w:rPr>
        <w:t>Da análise dos argumentos apresentados</w:t>
      </w:r>
      <w:r>
        <w:br/>
        <w:t xml:space="preserve">a) </w:t>
      </w:r>
      <w:r w:rsidR="00803964">
        <w:rPr>
          <w:rStyle w:val="Forte"/>
        </w:rPr>
        <w:t>Da Inexequibilidade da Proposta de Preços</w:t>
      </w:r>
      <w:r>
        <w:t xml:space="preserve"> – </w:t>
      </w:r>
      <w:r w:rsidR="00B9553F" w:rsidRPr="00B9553F">
        <w:t xml:space="preserve">A inexequibilidade de uma proposta não pode ser presumida unicamente pelo fato de seu valor estar abaixo de 50% do valor orçado, conforme entendimento consolidado na jurisprudência do Tribunal de Contas da União (TCU). Para que seja caracterizada a inexequibilidade, é necessário que a administração realize uma análise objetiva e criteriosa, considerando elementos como a composição dos custos, a viabilidade da execução contratual e a capacidade do proponente de cumprir as obrigações assumidas. No caso em questão, em resposta à diligência realizada, a licitante demonstrou seus custos operacionais e reafirmou a garantia da exequibilidade da proposta apresentada, </w:t>
      </w:r>
      <w:r w:rsidR="00803964">
        <w:t>reafirmando</w:t>
      </w:r>
      <w:r w:rsidR="00B9553F" w:rsidRPr="00B9553F">
        <w:t xml:space="preserve"> sua capacidade de execução do objeto contratado.</w:t>
      </w:r>
    </w:p>
    <w:p w:rsidR="006064D5" w:rsidRDefault="006064D5" w:rsidP="00803964">
      <w:pPr>
        <w:pStyle w:val="NormalWeb"/>
        <w:ind w:left="720"/>
        <w:jc w:val="both"/>
      </w:pPr>
      <w:r>
        <w:t xml:space="preserve">b) </w:t>
      </w:r>
      <w:r w:rsidR="00803964">
        <w:rPr>
          <w:rStyle w:val="Forte"/>
        </w:rPr>
        <w:t>Da Ausência de Assinatura no Balanço</w:t>
      </w:r>
      <w:r>
        <w:t xml:space="preserve"> – </w:t>
      </w:r>
      <w:r w:rsidR="00803964" w:rsidRPr="00803964">
        <w:t xml:space="preserve">Ao verificar o Balanço Patrimonial da empresa disponível no SICAF e/ou nas documentações encaminhadas pela licitante, constatou-se a ausência de assinaturas. No entanto, nos termos do artigo 64 da Lei nº 14.133/2021 e da jurisprudência do Tribunal de Contas da União (TCU), a comissão de licitação possui a prerrogativa de abrir diligência para </w:t>
      </w:r>
      <w:r w:rsidR="00803964" w:rsidRPr="00803964">
        <w:lastRenderedPageBreak/>
        <w:t>permitir a correção de erros ou falhas em documentos de habilitação que já existiam antes da data de apresentação da proposta e que foram devidamente juntados, garantindo assim a observância do princípio da competitividade e a busca pela proposta mais vantajosa para a administração.</w:t>
      </w:r>
    </w:p>
    <w:p w:rsidR="00803964" w:rsidRDefault="00803964" w:rsidP="00CD12D4">
      <w:pPr>
        <w:pStyle w:val="NormalWeb"/>
        <w:ind w:left="720"/>
        <w:jc w:val="both"/>
      </w:pPr>
      <w:r>
        <w:t xml:space="preserve">c) </w:t>
      </w:r>
      <w:r w:rsidR="00CD12D4" w:rsidRPr="00850643">
        <w:rPr>
          <w:b/>
        </w:rPr>
        <w:t>Da Ausência de Atestado de Qualificação Técnica</w:t>
      </w:r>
      <w:r w:rsidR="00C42F79">
        <w:rPr>
          <w:b/>
        </w:rPr>
        <w:t xml:space="preserve"> e Da Falta de Especialização</w:t>
      </w:r>
      <w:r w:rsidR="00CD12D4">
        <w:t xml:space="preserve"> – </w:t>
      </w:r>
      <w:r w:rsidR="00CD12D4" w:rsidRPr="00CD12D4">
        <w:t>Apesar da alegação do recorrente de que o recorrido não apresentou os atestados de qualificação técnica exigidos, verifica-se que foram juntados aos autos diversos atestados, os quais foram devidamente analisados pela área técnica competente, que atestou o atendimento das referidas qualificações. Ressalta-se que a qualificação técnica pode ser demonstrada tanto na condição de pessoa física quanto jurídica, sendo suficiente a comprovação da capacidade técnica para a execução do objeto licitado. Ademais, a tecnicidade da contratação está relacionada ao desenvolvimento de trabalho intelectual, independentemente da área de atuação específica em relação à matéria abordada. Importante destacar, ainda, que as contrarrazões recursais apresentadas incluem certidões emitidas pelo Poder Judiciário, as quais corroboram a qualificação técnica do recorrido, reforçando a aptidão para a execução do contrato.</w:t>
      </w:r>
    </w:p>
    <w:p w:rsidR="00CD12D4" w:rsidRDefault="00CD12D4" w:rsidP="00CD12D4">
      <w:pPr>
        <w:pStyle w:val="NormalWeb"/>
        <w:ind w:left="1440"/>
        <w:jc w:val="both"/>
      </w:pPr>
    </w:p>
    <w:p w:rsidR="006064D5" w:rsidRDefault="006064D5" w:rsidP="006064D5">
      <w:pPr>
        <w:pStyle w:val="NormalWeb"/>
      </w:pPr>
      <w:r>
        <w:rPr>
          <w:rStyle w:val="Forte"/>
        </w:rPr>
        <w:t>III – DECISÃO</w:t>
      </w:r>
    </w:p>
    <w:p w:rsidR="006064D5" w:rsidRDefault="006064D5" w:rsidP="006064D5">
      <w:pPr>
        <w:pStyle w:val="NormalWeb"/>
      </w:pPr>
      <w:r>
        <w:t>Diante do exposto, e considerando o disposto na Lei nº 14.133/2021,</w:t>
      </w:r>
      <w:r w:rsidR="00CE12A1">
        <w:t xml:space="preserve"> bem como no Edital de convocação, </w:t>
      </w:r>
      <w:r>
        <w:t>DECIDO:</w:t>
      </w:r>
    </w:p>
    <w:p w:rsidR="00CE12A1" w:rsidRDefault="00CE12A1" w:rsidP="00800A89">
      <w:pPr>
        <w:pStyle w:val="NormalWeb"/>
        <w:jc w:val="both"/>
      </w:pPr>
      <w:r>
        <w:t>Conhecer do presente recurso tendo em vista a tempestividade da sua apresentação, para solicitar diligência quanto a ausência de assinatura no balanço. Desta forma,</w:t>
      </w:r>
      <w:r w:rsidR="007A2687">
        <w:t xml:space="preserve"> nos termos do Art. 64, da Lei 14.133/2021, efetuaremos diligência para que seja juntado o Balanço assinado, ressaltando-se que não se trata de novo documento e sim verificação de possível condição pré-existente. Quanto ao prazo para cumprimento da diligência, tendo em vista a omissão do Edital, bem como a ausência de regulamentação por parte do arcabouço normativo, </w:t>
      </w:r>
      <w:r w:rsidR="00395EAE">
        <w:t xml:space="preserve">concederemos o prazo de 5 (cinco) dias úteis para </w:t>
      </w:r>
      <w:r w:rsidR="00E338AF">
        <w:t>envio</w:t>
      </w:r>
      <w:r w:rsidR="00395EAE">
        <w:t xml:space="preserve"> do Balanço assinado</w:t>
      </w:r>
      <w:r w:rsidR="00E338AF">
        <w:t xml:space="preserve"> para o e-mail licitacao@crcrj.org.br</w:t>
      </w:r>
      <w:r w:rsidR="00395EAE">
        <w:t xml:space="preserve">, por aplicação analógica do Art. 43, </w:t>
      </w:r>
      <w:r w:rsidR="00DF133A">
        <w:t>§1º da Lei Complementar 123/2006</w:t>
      </w:r>
      <w:r w:rsidR="00395EAE">
        <w:t>.</w:t>
      </w:r>
    </w:p>
    <w:p w:rsidR="00582F7D" w:rsidRDefault="00805F41" w:rsidP="00800A89">
      <w:pPr>
        <w:pStyle w:val="NormalWeb"/>
        <w:jc w:val="both"/>
      </w:pPr>
      <w:r>
        <w:t xml:space="preserve">O prazo de 5 (cinco) dias úteis terá início no dia posterior a disponibilização da presente manifestação </w:t>
      </w:r>
      <w:r w:rsidR="00800A89">
        <w:t>no sítio do compras.gov.br, devendo o documento ser enviado pelo próprio sistema.</w:t>
      </w:r>
      <w:bookmarkStart w:id="0" w:name="_GoBack"/>
      <w:bookmarkEnd w:id="0"/>
    </w:p>
    <w:p w:rsidR="006064D5" w:rsidRDefault="00981C54" w:rsidP="006064D5">
      <w:pPr>
        <w:pStyle w:val="NormalWeb"/>
      </w:pPr>
      <w:r>
        <w:t>Rio de Janeiro</w:t>
      </w:r>
      <w:r w:rsidR="006064D5">
        <w:t xml:space="preserve">, </w:t>
      </w:r>
      <w:r>
        <w:t>25 de fevereiro de 2025.</w:t>
      </w:r>
    </w:p>
    <w:p w:rsidR="002747A5" w:rsidRDefault="002747A5" w:rsidP="006064D5">
      <w:pPr>
        <w:pStyle w:val="NormalWeb"/>
      </w:pPr>
      <w:r>
        <w:rPr>
          <w:rStyle w:val="Forte"/>
        </w:rPr>
        <w:t>Jorge Luiz Garcia Cardoso Valente</w:t>
      </w:r>
      <w:r w:rsidR="006064D5">
        <w:br/>
        <w:t>Pregoeiro</w:t>
      </w:r>
      <w:r w:rsidR="006064D5">
        <w:br/>
      </w:r>
      <w:r>
        <w:t>Conselho Regional de Contabilidade</w:t>
      </w:r>
      <w:r>
        <w:br/>
        <w:t>do Estado do Rio de Janeiro</w:t>
      </w:r>
    </w:p>
    <w:p w:rsidR="00552E9D" w:rsidRDefault="00582F7D"/>
    <w:sectPr w:rsidR="00552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81BFC"/>
    <w:multiLevelType w:val="multilevel"/>
    <w:tmpl w:val="8D76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5"/>
    <w:rsid w:val="0001443A"/>
    <w:rsid w:val="002747A5"/>
    <w:rsid w:val="00330D83"/>
    <w:rsid w:val="00395EAE"/>
    <w:rsid w:val="004E2A17"/>
    <w:rsid w:val="00582F7D"/>
    <w:rsid w:val="006064D5"/>
    <w:rsid w:val="007A2687"/>
    <w:rsid w:val="00800A89"/>
    <w:rsid w:val="00803964"/>
    <w:rsid w:val="00805F41"/>
    <w:rsid w:val="00850643"/>
    <w:rsid w:val="00900E72"/>
    <w:rsid w:val="00981C54"/>
    <w:rsid w:val="00A654EC"/>
    <w:rsid w:val="00B9553F"/>
    <w:rsid w:val="00C42F79"/>
    <w:rsid w:val="00CD12D4"/>
    <w:rsid w:val="00CE12A1"/>
    <w:rsid w:val="00D65F1A"/>
    <w:rsid w:val="00DF133A"/>
    <w:rsid w:val="00E338AF"/>
    <w:rsid w:val="00F45A2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D212-23D4-4784-A81E-3F74ADBE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6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Garcia C Valente</dc:creator>
  <cp:keywords/>
  <dc:description/>
  <cp:lastModifiedBy>Jorge Luiz Garcia C Valente</cp:lastModifiedBy>
  <cp:revision>20</cp:revision>
  <dcterms:created xsi:type="dcterms:W3CDTF">2025-02-25T15:34:00Z</dcterms:created>
  <dcterms:modified xsi:type="dcterms:W3CDTF">2025-02-25T17:40:00Z</dcterms:modified>
</cp:coreProperties>
</file>